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EE9525C" w:rsidR="00EF4B16" w:rsidRDefault="00C51786">
      <w:pPr>
        <w:pStyle w:val="Tytu"/>
        <w:tabs>
          <w:tab w:val="left" w:pos="360"/>
        </w:tabs>
        <w:rPr>
          <w:sz w:val="28"/>
          <w:szCs w:val="28"/>
        </w:rPr>
      </w:pPr>
      <w:r w:rsidRPr="00C51786">
        <w:rPr>
          <w:sz w:val="28"/>
          <w:szCs w:val="28"/>
        </w:rPr>
        <w:t>Improved methodology for investigating the electrical properties of conductive hydrogels in energy applications</w:t>
      </w:r>
    </w:p>
    <w:p w14:paraId="00000002" w14:textId="77777777" w:rsidR="00EF4B16" w:rsidRDefault="00EF4B16" w:rsidP="00FD0854">
      <w:pPr>
        <w:pStyle w:val="Tytu"/>
        <w:tabs>
          <w:tab w:val="left" w:pos="360"/>
        </w:tabs>
        <w:jc w:val="left"/>
        <w:rPr>
          <w:sz w:val="28"/>
          <w:szCs w:val="28"/>
        </w:rPr>
      </w:pPr>
    </w:p>
    <w:p w14:paraId="00000003" w14:textId="77777777" w:rsidR="00EF4B16" w:rsidRPr="009F63FB" w:rsidRDefault="00000000">
      <w:pPr>
        <w:tabs>
          <w:tab w:val="left" w:pos="360"/>
        </w:tabs>
        <w:jc w:val="center"/>
        <w:rPr>
          <w:rFonts w:ascii="Times New Roman" w:eastAsia="Times New Roman" w:hAnsi="Times New Roman" w:cs="Times New Roman"/>
          <w:vertAlign w:val="superscript"/>
          <w:lang w:val="pl-PL"/>
        </w:rPr>
      </w:pPr>
      <w:r w:rsidRPr="009F63FB">
        <w:rPr>
          <w:rFonts w:ascii="Times New Roman" w:eastAsia="Times New Roman" w:hAnsi="Times New Roman" w:cs="Times New Roman"/>
          <w:u w:val="single"/>
          <w:lang w:val="pl-PL"/>
        </w:rPr>
        <w:t>Gabriela Małyszko</w:t>
      </w:r>
      <w:r w:rsidRPr="009F63FB">
        <w:rPr>
          <w:rFonts w:ascii="Times New Roman" w:eastAsia="Times New Roman" w:hAnsi="Times New Roman" w:cs="Times New Roman"/>
          <w:vertAlign w:val="superscript"/>
          <w:lang w:val="pl-PL"/>
        </w:rPr>
        <w:t>1*</w:t>
      </w:r>
      <w:r w:rsidRPr="009F63FB">
        <w:rPr>
          <w:rFonts w:ascii="Times New Roman" w:eastAsia="Times New Roman" w:hAnsi="Times New Roman" w:cs="Times New Roman"/>
          <w:lang w:val="pl-PL"/>
        </w:rPr>
        <w:t xml:space="preserve">, </w:t>
      </w:r>
      <w:r w:rsidRPr="009F63FB">
        <w:rPr>
          <w:rFonts w:ascii="Times New Roman" w:eastAsia="Times New Roman" w:hAnsi="Times New Roman" w:cs="Times New Roman"/>
          <w:u w:val="single"/>
          <w:lang w:val="pl-PL"/>
        </w:rPr>
        <w:t>Sylwia Pawłowska</w:t>
      </w:r>
      <w:r w:rsidRPr="009F63FB">
        <w:rPr>
          <w:rFonts w:ascii="Times New Roman" w:eastAsia="Times New Roman" w:hAnsi="Times New Roman" w:cs="Times New Roman"/>
          <w:u w:val="single"/>
          <w:vertAlign w:val="superscript"/>
          <w:lang w:val="pl-PL"/>
        </w:rPr>
        <w:t>1</w:t>
      </w:r>
      <w:r w:rsidRPr="009F63FB">
        <w:rPr>
          <w:rFonts w:ascii="Times New Roman" w:eastAsia="Times New Roman" w:hAnsi="Times New Roman" w:cs="Times New Roman"/>
          <w:lang w:val="pl-PL"/>
        </w:rPr>
        <w:t xml:space="preserve"> and Piotr Jasiński</w:t>
      </w:r>
      <w:r w:rsidRPr="009F63FB">
        <w:rPr>
          <w:rFonts w:ascii="Times New Roman" w:eastAsia="Times New Roman" w:hAnsi="Times New Roman" w:cs="Times New Roman"/>
          <w:vertAlign w:val="superscript"/>
          <w:lang w:val="pl-PL"/>
        </w:rPr>
        <w:t xml:space="preserve">1 </w:t>
      </w:r>
    </w:p>
    <w:p w14:paraId="00000004" w14:textId="34387F6C" w:rsidR="00EF4B16" w:rsidRDefault="00000000">
      <w:pPr>
        <w:tabs>
          <w:tab w:val="left" w:pos="360"/>
        </w:tabs>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Department of Functional Materials Engineering</w:t>
      </w:r>
      <w:r w:rsidR="00FD0854">
        <w:rPr>
          <w:rFonts w:ascii="Times New Roman" w:eastAsia="Times New Roman" w:hAnsi="Times New Roman" w:cs="Times New Roman"/>
        </w:rPr>
        <w:t>,</w:t>
      </w:r>
      <w:r>
        <w:rPr>
          <w:rFonts w:ascii="Times New Roman" w:eastAsia="Times New Roman" w:hAnsi="Times New Roman" w:cs="Times New Roman"/>
        </w:rPr>
        <w:t xml:space="preserve"> Gdansk University of Technology, Poland</w:t>
      </w:r>
    </w:p>
    <w:p w14:paraId="00000005" w14:textId="77777777" w:rsidR="00EF4B16" w:rsidRDefault="00000000">
      <w:pPr>
        <w:tabs>
          <w:tab w:val="left" w:pos="360"/>
        </w:tabs>
        <w:jc w:val="center"/>
        <w:rPr>
          <w:rFonts w:ascii="Times New Roman" w:eastAsia="Times New Roman" w:hAnsi="Times New Roman" w:cs="Times New Roman"/>
        </w:rPr>
      </w:pPr>
      <w:r>
        <w:rPr>
          <w:rFonts w:ascii="Times New Roman" w:eastAsia="Times New Roman" w:hAnsi="Times New Roman" w:cs="Times New Roman"/>
        </w:rPr>
        <w:t>*gabriela.malyszko@pg.edu.pl</w:t>
      </w:r>
    </w:p>
    <w:p w14:paraId="00000006" w14:textId="77777777" w:rsidR="00EF4B16" w:rsidRDefault="00EF4B16">
      <w:pPr>
        <w:tabs>
          <w:tab w:val="left" w:pos="360"/>
        </w:tabs>
        <w:jc w:val="center"/>
        <w:rPr>
          <w:rFonts w:ascii="Times New Roman" w:eastAsia="Times New Roman" w:hAnsi="Times New Roman" w:cs="Times New Roman"/>
          <w:sz w:val="18"/>
          <w:szCs w:val="18"/>
        </w:rPr>
      </w:pPr>
    </w:p>
    <w:p w14:paraId="00000007" w14:textId="77777777" w:rsidR="00EF4B16" w:rsidRDefault="00000000">
      <w:pPr>
        <w:tabs>
          <w:tab w:val="left" w:pos="36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INTRODUCTION</w:t>
      </w:r>
    </w:p>
    <w:p w14:paraId="00000008" w14:textId="5318FCED" w:rsidR="00EF4B16" w:rsidRDefault="00000000">
      <w:pPr>
        <w:tabs>
          <w:tab w:val="left" w:pos="360"/>
        </w:tabs>
        <w:jc w:val="both"/>
        <w:rPr>
          <w:sz w:val="22"/>
          <w:szCs w:val="22"/>
        </w:rPr>
      </w:pPr>
      <w:r>
        <w:rPr>
          <w:sz w:val="22"/>
          <w:szCs w:val="22"/>
        </w:rPr>
        <w:t>Hydrogels are a class of water-swollen three-dimensional (3D) polymer network with</w:t>
      </w:r>
      <w:r>
        <w:t xml:space="preserve"> </w:t>
      </w:r>
      <w:r>
        <w:rPr>
          <w:sz w:val="22"/>
          <w:szCs w:val="22"/>
        </w:rPr>
        <w:t xml:space="preserve">ability to modulate their physicochemical properties. This tunability facilitates their adaptation to specific functional demands across a wide range of environmental conditions and application domains </w:t>
      </w:r>
      <w:r>
        <w:rPr>
          <w:sz w:val="22"/>
          <w:szCs w:val="22"/>
          <w:vertAlign w:val="superscript"/>
        </w:rPr>
        <w:t>1</w:t>
      </w:r>
      <w:r>
        <w:rPr>
          <w:sz w:val="22"/>
          <w:szCs w:val="22"/>
        </w:rPr>
        <w:t>. In recent years, hydrogels have garnered significant attention for applications in energy storage and conversion, primarily due to their semi-solid nature and intrinsic mechanical flexibility</w:t>
      </w:r>
      <w:r>
        <w:rPr>
          <w:sz w:val="22"/>
          <w:szCs w:val="22"/>
          <w:vertAlign w:val="superscript"/>
        </w:rPr>
        <w:t xml:space="preserve"> 2</w:t>
      </w:r>
      <w:r>
        <w:rPr>
          <w:sz w:val="22"/>
          <w:szCs w:val="22"/>
        </w:rPr>
        <w:t>. Designing composite hydrogel materials by suspending various particles in their structure allows for the creation of materials with new properties and applications, such as use in electrocatalytic water splitting to produce hydrogen</w:t>
      </w:r>
      <w:r>
        <w:t xml:space="preserve">. </w:t>
      </w:r>
      <w:r>
        <w:rPr>
          <w:sz w:val="22"/>
          <w:szCs w:val="22"/>
        </w:rPr>
        <w:t>To ensure proper electrical conductivity, fillers such as carbon-based materials are suspended in the hydrogel structure</w:t>
      </w:r>
      <w:r>
        <w:rPr>
          <w:sz w:val="22"/>
          <w:szCs w:val="22"/>
          <w:vertAlign w:val="superscript"/>
        </w:rPr>
        <w:t>3</w:t>
      </w:r>
      <w:r>
        <w:rPr>
          <w:sz w:val="22"/>
          <w:szCs w:val="22"/>
        </w:rPr>
        <w:t xml:space="preserve">. Investigating the electrical properties of such soft materials is a major challenge for researchers. The measuring system must provide the best possible contact between the hydrogel and the electrodes while protecting against solvent evaporation from the hydrogel. </w:t>
      </w:r>
    </w:p>
    <w:p w14:paraId="00000009" w14:textId="77777777" w:rsidR="00EF4B16" w:rsidRDefault="00EF4B16">
      <w:pPr>
        <w:tabs>
          <w:tab w:val="left" w:pos="360"/>
        </w:tabs>
        <w:jc w:val="both"/>
        <w:rPr>
          <w:sz w:val="22"/>
          <w:szCs w:val="22"/>
        </w:rPr>
      </w:pPr>
    </w:p>
    <w:p w14:paraId="0000000A" w14:textId="77777777" w:rsidR="00EF4B16" w:rsidRDefault="00000000">
      <w:pPr>
        <w:tabs>
          <w:tab w:val="left" w:pos="36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EXPERIMENTAL/THEORETICAL STUDY</w:t>
      </w:r>
    </w:p>
    <w:p w14:paraId="0000000B" w14:textId="77777777" w:rsidR="00EF4B16" w:rsidRPr="009F63FB" w:rsidRDefault="00000000">
      <w:pPr>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9F63FB">
        <w:rPr>
          <w:rFonts w:ascii="Times New Roman" w:eastAsia="Times New Roman" w:hAnsi="Times New Roman" w:cs="Times New Roman"/>
          <w:sz w:val="22"/>
          <w:szCs w:val="22"/>
          <w:highlight w:val="white"/>
        </w:rPr>
        <w:t xml:space="preserve">To synthesize conductive hydrogels in a one-step reaction, </w:t>
      </w:r>
      <w:proofErr w:type="spellStart"/>
      <w:r w:rsidRPr="009F63FB">
        <w:rPr>
          <w:rFonts w:ascii="Times New Roman" w:eastAsia="Times New Roman" w:hAnsi="Times New Roman" w:cs="Times New Roman"/>
          <w:sz w:val="22"/>
          <w:szCs w:val="22"/>
          <w:highlight w:val="white"/>
        </w:rPr>
        <w:t>NIPAAm</w:t>
      </w:r>
      <w:proofErr w:type="spellEnd"/>
      <w:r w:rsidRPr="009F63FB">
        <w:rPr>
          <w:rFonts w:ascii="Times New Roman" w:eastAsia="Times New Roman" w:hAnsi="Times New Roman" w:cs="Times New Roman"/>
          <w:sz w:val="22"/>
          <w:szCs w:val="22"/>
          <w:highlight w:val="white"/>
        </w:rPr>
        <w:t xml:space="preserve"> and BIS-</w:t>
      </w:r>
      <w:proofErr w:type="spellStart"/>
      <w:r w:rsidRPr="009F63FB">
        <w:rPr>
          <w:rFonts w:ascii="Times New Roman" w:eastAsia="Times New Roman" w:hAnsi="Times New Roman" w:cs="Times New Roman"/>
          <w:sz w:val="22"/>
          <w:szCs w:val="22"/>
          <w:highlight w:val="white"/>
        </w:rPr>
        <w:t>AAm</w:t>
      </w:r>
      <w:proofErr w:type="spellEnd"/>
      <w:r w:rsidRPr="009F63FB">
        <w:rPr>
          <w:rFonts w:ascii="Times New Roman" w:eastAsia="Times New Roman" w:hAnsi="Times New Roman" w:cs="Times New Roman"/>
          <w:sz w:val="22"/>
          <w:szCs w:val="22"/>
          <w:highlight w:val="white"/>
        </w:rPr>
        <w:t xml:space="preserve"> monomers (in a ratio of 35:1) and conductive Carbon Black particles (suspended in the hydrogel at various concentrations) were used. The electrical properties of the prepared hydrogel composite materials were determined based on Electrochemical Impedance Spectroscopy measurements. The hydrogel was polymerized in the Teflon cell (Swagelok type) and terminated with two removable steel blocks, acting as electrodes during measurement. Polymerization of the hydrogel directly in the measuring cell allowed for the creation of maximum hydrogel-electrode contact. Electrodes were connected with the impedance analyzer (2-probe measurement). The impedance spectrum of hydrogel samples was acquired in the frequency range of 1 Hz – 10 kHz and at an amplitude of 10 mV. </w:t>
      </w:r>
    </w:p>
    <w:p w14:paraId="0000000C" w14:textId="53FB77C5" w:rsidR="00EF4B16" w:rsidRDefault="00000000">
      <w:pPr>
        <w:tabs>
          <w:tab w:val="left" w:pos="360"/>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RESULTS AND DISCUSSION</w:t>
      </w:r>
      <w:r>
        <w:t xml:space="preserve"> </w:t>
      </w:r>
    </w:p>
    <w:p w14:paraId="0000000D" w14:textId="712EA93D" w:rsidR="00EF4B16" w:rsidRPr="009F63FB" w:rsidRDefault="00000000">
      <w:pPr>
        <w:jc w:val="both"/>
        <w:rPr>
          <w:sz w:val="22"/>
          <w:szCs w:val="22"/>
        </w:rPr>
      </w:pPr>
      <w:r w:rsidRPr="009F63FB">
        <w:rPr>
          <w:sz w:val="22"/>
          <w:szCs w:val="22"/>
        </w:rPr>
        <w:t xml:space="preserve">Hydrogels are soft, flexible and often viscous - all of which can lead to inconsistent contact with the electrode surface, therefore it is crucial to select a suitable measurement system to </w:t>
      </w:r>
      <w:proofErr w:type="spellStart"/>
      <w:r w:rsidRPr="009F63FB">
        <w:rPr>
          <w:sz w:val="22"/>
          <w:szCs w:val="22"/>
        </w:rPr>
        <w:t>characterise</w:t>
      </w:r>
      <w:proofErr w:type="spellEnd"/>
      <w:r w:rsidRPr="009F63FB">
        <w:rPr>
          <w:sz w:val="22"/>
          <w:szCs w:val="22"/>
        </w:rPr>
        <w:t xml:space="preserve"> the electrical properties of hydrogels. The studies showed that the measurement system ensured ideal contact between the investigated hydrogel material and the electrodes, which was facilitated by conducting the polymerization process directly in the measuring cell. Additionally, the obtained results indicate very good repeatability, which confirms that the hydrogel adhered perfectly to the surfaces of both electrodes. The thickness of the hydrogel material located between the measuring electrodes does not impact the obtained impedance modulus result. A clear trend was observed, with increasing carbon content, the hydrogels exhibited lower overall impedance and increased conductivity, especially in the low frequency range. </w:t>
      </w:r>
    </w:p>
    <w:p w14:paraId="0000000E" w14:textId="77777777" w:rsidR="00EF4B16" w:rsidRDefault="00EF4B16">
      <w:pPr>
        <w:tabs>
          <w:tab w:val="left" w:pos="360"/>
        </w:tabs>
        <w:jc w:val="both"/>
        <w:rPr>
          <w:sz w:val="16"/>
          <w:szCs w:val="16"/>
        </w:rPr>
      </w:pPr>
    </w:p>
    <w:p w14:paraId="0000000F" w14:textId="77777777" w:rsidR="00EF4B16" w:rsidRDefault="00000000">
      <w:pPr>
        <w:tabs>
          <w:tab w:val="left" w:pos="360"/>
        </w:tab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14:paraId="00000010" w14:textId="261F7FD9" w:rsidR="00EF4B16" w:rsidRDefault="00000000">
      <w:pPr>
        <w:pBdr>
          <w:top w:val="nil"/>
          <w:left w:val="nil"/>
          <w:bottom w:val="nil"/>
          <w:right w:val="nil"/>
          <w:between w:val="nil"/>
        </w:pBdr>
        <w:spacing w:after="12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This paper examined the electrical characterisation of hydrogels, highlighting the challenges and considerations associated with measuring their conductive properties in a two-electrode configuration. It was further found that the influence of the quality of the electrode-hydrogel contact and environmental conditions is crucial to obtain reliable and reproducible data. Future work should concentrate on the development of standard measurement protocols and improved electrode architectures allowing the definition of a gold standard for measuring the electrical properties of hydrogel materials</w:t>
      </w:r>
      <w:r w:rsidR="00137B02">
        <w:rPr>
          <w:rFonts w:ascii="Times New Roman" w:eastAsia="Times New Roman" w:hAnsi="Times New Roman" w:cs="Times New Roman"/>
          <w:color w:val="000000"/>
          <w:sz w:val="20"/>
          <w:szCs w:val="20"/>
        </w:rPr>
        <w:t>.</w:t>
      </w:r>
    </w:p>
    <w:p w14:paraId="00000011" w14:textId="77777777" w:rsidR="00EF4B16" w:rsidRDefault="00000000">
      <w:pPr>
        <w:pBdr>
          <w:top w:val="nil"/>
          <w:left w:val="nil"/>
          <w:bottom w:val="nil"/>
          <w:right w:val="nil"/>
          <w:between w:val="nil"/>
        </w:pBdr>
        <w:shd w:val="clear" w:color="auto" w:fill="FFFFFF"/>
        <w:tabs>
          <w:tab w:val="left" w:pos="360"/>
        </w:tabs>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REFERENCES</w:t>
      </w:r>
    </w:p>
    <w:p w14:paraId="00000012" w14:textId="77777777" w:rsidR="00EF4B16"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H. Cao, L. Duan, Y. Zhang et al., Sig. </w:t>
      </w:r>
      <w:proofErr w:type="spellStart"/>
      <w:r>
        <w:rPr>
          <w:rFonts w:ascii="Times New Roman" w:eastAsia="Times New Roman" w:hAnsi="Times New Roman" w:cs="Times New Roman"/>
          <w:color w:val="000000"/>
          <w:sz w:val="20"/>
          <w:szCs w:val="20"/>
        </w:rPr>
        <w:t>Transduct</w:t>
      </w:r>
      <w:proofErr w:type="spellEnd"/>
      <w:r>
        <w:rPr>
          <w:rFonts w:ascii="Times New Roman" w:eastAsia="Times New Roman" w:hAnsi="Times New Roman" w:cs="Times New Roman"/>
          <w:color w:val="000000"/>
          <w:sz w:val="20"/>
          <w:szCs w:val="20"/>
        </w:rPr>
        <w:t>. Target Ther. 6, 426 (2021)</w:t>
      </w:r>
    </w:p>
    <w:p w14:paraId="00000013" w14:textId="77777777" w:rsidR="00EF4B16"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 Bashir et al., Polymers 12, 2702 (2020)</w:t>
      </w:r>
    </w:p>
    <w:p w14:paraId="00000014" w14:textId="77777777" w:rsidR="00EF4B16"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 M. Kim et al., Adv. Mater. 2002210, 1–24 (2020)</w:t>
      </w:r>
    </w:p>
    <w:p w14:paraId="00000015" w14:textId="77777777" w:rsidR="00EF4B16" w:rsidRDefault="00EF4B16">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00000016" w14:textId="77777777" w:rsidR="00EF4B16" w:rsidRDefault="00000000">
      <w:pPr>
        <w:tabs>
          <w:tab w:val="left" w:pos="36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ACKNOWLEDGMENTS</w:t>
      </w:r>
    </w:p>
    <w:p w14:paraId="00000017" w14:textId="77777777" w:rsidR="00EF4B16" w:rsidRDefault="00000000">
      <w:pPr>
        <w:tabs>
          <w:tab w:val="left" w:pos="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work was supported by the Foundation for Polish Science the Polish National Science Center (NCN, grant no. 2021/43/D/ST5/01828)</w:t>
      </w:r>
    </w:p>
    <w:sectPr w:rsidR="00EF4B16">
      <w:headerReference w:type="even" r:id="rId8"/>
      <w:headerReference w:type="default" r:id="rId9"/>
      <w:footerReference w:type="even" r:id="rId10"/>
      <w:footerReference w:type="default" r:id="rId11"/>
      <w:headerReference w:type="first" r:id="rId12"/>
      <w:footerReference w:type="first" r:id="rId13"/>
      <w:pgSz w:w="12240" w:h="15840"/>
      <w:pgMar w:top="1077" w:right="1077" w:bottom="1077" w:left="1077" w:header="0" w:footer="20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4016" w14:textId="77777777" w:rsidR="009939BF" w:rsidRDefault="009939BF">
      <w:r>
        <w:separator/>
      </w:r>
    </w:p>
  </w:endnote>
  <w:endnote w:type="continuationSeparator" w:id="0">
    <w:p w14:paraId="2C9BB5BE" w14:textId="77777777" w:rsidR="009939BF" w:rsidRDefault="0099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EF4B16" w:rsidRDefault="00EF4B16">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EF4B16" w:rsidRDefault="00EF4B16">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EF4B16" w:rsidRDefault="00EF4B16">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6823" w14:textId="77777777" w:rsidR="009939BF" w:rsidRDefault="009939BF">
      <w:r>
        <w:separator/>
      </w:r>
    </w:p>
  </w:footnote>
  <w:footnote w:type="continuationSeparator" w:id="0">
    <w:p w14:paraId="1529107C" w14:textId="77777777" w:rsidR="009939BF" w:rsidRDefault="00993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EF4B16" w:rsidRDefault="00EF4B1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EF4B16" w:rsidRDefault="00EF4B1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EF4B16" w:rsidRDefault="00EF4B1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B51EA"/>
    <w:multiLevelType w:val="multilevel"/>
    <w:tmpl w:val="9C085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52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16"/>
    <w:rsid w:val="0008548F"/>
    <w:rsid w:val="00137B02"/>
    <w:rsid w:val="00253BC9"/>
    <w:rsid w:val="002912AA"/>
    <w:rsid w:val="002E6162"/>
    <w:rsid w:val="008C37EF"/>
    <w:rsid w:val="00945DCA"/>
    <w:rsid w:val="009939BF"/>
    <w:rsid w:val="009F63FB"/>
    <w:rsid w:val="00C51786"/>
    <w:rsid w:val="00D41ADE"/>
    <w:rsid w:val="00EF4B16"/>
    <w:rsid w:val="00FD0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B264"/>
  <w15:docId w15:val="{EAC37A15-F811-40A5-9539-93FD4825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eastAsia="en-US"/>
    </w:rPr>
  </w:style>
  <w:style w:type="paragraph" w:styleId="Nagwek1">
    <w:name w:val="heading 1"/>
    <w:basedOn w:val="Normalny"/>
    <w:next w:val="Normalny"/>
    <w:uiPriority w:val="9"/>
    <w:qFormat/>
    <w:pPr>
      <w:keepNext/>
      <w:jc w:val="center"/>
      <w:outlineLvl w:val="0"/>
    </w:pPr>
    <w:rPr>
      <w:rFonts w:ascii="Times New Roman" w:hAnsi="Times New Roman"/>
      <w:b/>
    </w:rPr>
  </w:style>
  <w:style w:type="paragraph" w:styleId="Nagwek2">
    <w:name w:val="heading 2"/>
    <w:basedOn w:val="Normalny"/>
    <w:next w:val="Normalny"/>
    <w:uiPriority w:val="9"/>
    <w:semiHidden/>
    <w:unhideWhenUsed/>
    <w:qFormat/>
    <w:pPr>
      <w:keepNext/>
      <w:outlineLvl w:val="1"/>
    </w:pPr>
    <w:rPr>
      <w:rFonts w:ascii="Times New Roman" w:hAnsi="Times New Roman"/>
      <w:b/>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uiPriority w:val="10"/>
    <w:qFormat/>
    <w:pPr>
      <w:jc w:val="center"/>
    </w:pPr>
    <w:rPr>
      <w:rFonts w:ascii="Times New Roman" w:hAnsi="Times New Roman"/>
      <w:b/>
    </w:rPr>
  </w:style>
  <w:style w:type="paragraph" w:styleId="Tekstpodstawowy">
    <w:name w:val="Body Text"/>
    <w:basedOn w:val="Normalny"/>
    <w:semiHidden/>
    <w:pPr>
      <w:jc w:val="both"/>
    </w:pPr>
    <w:rPr>
      <w:rFonts w:ascii="Times New Roman" w:hAnsi="Times New Roman"/>
    </w:rPr>
  </w:style>
  <w:style w:type="character" w:styleId="Hipercze">
    <w:name w:val="Hyperlink"/>
    <w:semiHidden/>
    <w:rPr>
      <w:color w:val="0000FF"/>
      <w:u w:val="single"/>
    </w:rPr>
  </w:style>
  <w:style w:type="character" w:styleId="UyteHipercze">
    <w:name w:val="FollowedHyperlink"/>
    <w:semiHidden/>
    <w:rPr>
      <w:color w:val="800080"/>
      <w:u w:val="single"/>
    </w:rPr>
  </w:style>
  <w:style w:type="paragraph" w:styleId="Nagwek">
    <w:name w:val="header"/>
    <w:basedOn w:val="Normalny"/>
    <w:semiHidden/>
    <w:pPr>
      <w:tabs>
        <w:tab w:val="center" w:pos="4320"/>
        <w:tab w:val="right" w:pos="8640"/>
      </w:tabs>
    </w:pPr>
  </w:style>
  <w:style w:type="paragraph" w:styleId="Stopka">
    <w:name w:val="footer"/>
    <w:basedOn w:val="Normalny"/>
    <w:semiHidden/>
    <w:pPr>
      <w:tabs>
        <w:tab w:val="center" w:pos="4320"/>
        <w:tab w:val="right" w:pos="8640"/>
      </w:tabs>
    </w:pPr>
  </w:style>
  <w:style w:type="paragraph" w:styleId="NormalnyWeb">
    <w:name w:val="Normal (Web)"/>
    <w:basedOn w:val="Normalny"/>
    <w:semiHidden/>
    <w:pPr>
      <w:spacing w:before="100" w:beforeAutospacing="1" w:after="100" w:afterAutospacing="1"/>
    </w:pPr>
    <w:rPr>
      <w:rFonts w:ascii="Times New Roman" w:eastAsia="Times New Roman" w:hAnsi="Times New Roman"/>
    </w:rPr>
  </w:style>
  <w:style w:type="paragraph" w:styleId="Tekstdymka">
    <w:name w:val="Balloon Text"/>
    <w:basedOn w:val="Normalny"/>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customStyle="1" w:styleId="Default">
    <w:name w:val="Default"/>
    <w:pPr>
      <w:autoSpaceDE w:val="0"/>
      <w:autoSpaceDN w:val="0"/>
      <w:adjustRightInd w:val="0"/>
    </w:pPr>
    <w:rPr>
      <w:rFonts w:ascii="Times New Roman" w:hAnsi="Times New Roman"/>
      <w:color w:val="000000"/>
      <w:lang w:val="es-ES" w:eastAsia="es-ES"/>
    </w:rPr>
  </w:style>
  <w:style w:type="paragraph" w:customStyle="1" w:styleId="Stylecaption9pt">
    <w:name w:val="Style caption + 9 pt"/>
    <w:basedOn w:val="Normalny"/>
    <w:pPr>
      <w:spacing w:before="120" w:after="120"/>
      <w:jc w:val="center"/>
    </w:pPr>
    <w:rPr>
      <w:rFonts w:ascii="Arial" w:eastAsia="Times New Roman" w:hAnsi="Arial" w:cs="Arial"/>
      <w:i/>
      <w:sz w:val="18"/>
      <w:szCs w:val="18"/>
    </w:rPr>
  </w:style>
  <w:style w:type="character" w:customStyle="1" w:styleId="il">
    <w:name w:val="il"/>
    <w:rsid w:val="005824D9"/>
  </w:style>
  <w:style w:type="character" w:styleId="Nierozpoznanawzmianka">
    <w:name w:val="Unresolved Mention"/>
    <w:uiPriority w:val="99"/>
    <w:semiHidden/>
    <w:unhideWhenUsed/>
    <w:rsid w:val="002477B3"/>
    <w:rPr>
      <w:color w:val="808080"/>
      <w:shd w:val="clear" w:color="auto" w:fill="E6E6E6"/>
    </w:rPr>
  </w:style>
  <w:style w:type="paragraph" w:styleId="Akapitzlist">
    <w:name w:val="List Paragraph"/>
    <w:basedOn w:val="Normalny"/>
    <w:uiPriority w:val="34"/>
    <w:qFormat/>
    <w:rsid w:val="0055226D"/>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2XmLjjuj/60MibITWWBGfSKCsQ==">CgMxLjAyDmguYnB4NGc4d29wenZkOAByITFxRlJFdkZmeE9LMmpVbWRkd3JUckV6TFFpYjhfdFFpUQ==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3592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Elby Titus</dc:creator>
  <cp:lastModifiedBy>Gabriela Małyszko</cp:lastModifiedBy>
  <cp:revision>2</cp:revision>
  <dcterms:created xsi:type="dcterms:W3CDTF">2025-06-16T09:52:00Z</dcterms:created>
  <dcterms:modified xsi:type="dcterms:W3CDTF">2025-06-16T09:52:00Z</dcterms:modified>
</cp:coreProperties>
</file>